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86" w:rsidRPr="00D52BB1" w:rsidRDefault="00484D86" w:rsidP="00484D86">
      <w:pPr>
        <w:pStyle w:val="aa"/>
        <w:jc w:val="right"/>
        <w:rPr>
          <w:rFonts w:ascii="Times New Roman" w:hAnsi="Times New Roman"/>
          <w:i/>
          <w:sz w:val="24"/>
          <w:szCs w:val="24"/>
        </w:rPr>
      </w:pPr>
      <w:r w:rsidRPr="00D52BB1">
        <w:rPr>
          <w:rFonts w:ascii="Times New Roman" w:hAnsi="Times New Roman"/>
          <w:i/>
          <w:sz w:val="24"/>
          <w:szCs w:val="24"/>
        </w:rPr>
        <w:t>Неофициальный перевод</w:t>
      </w:r>
    </w:p>
    <w:p w:rsidR="00484D86" w:rsidRPr="00D52BB1" w:rsidRDefault="00484D86" w:rsidP="00484D86">
      <w:pPr>
        <w:pStyle w:val="aa"/>
        <w:jc w:val="right"/>
        <w:rPr>
          <w:rFonts w:ascii="Times New Roman" w:hAnsi="Times New Roman"/>
          <w:i/>
          <w:sz w:val="24"/>
          <w:szCs w:val="24"/>
        </w:rPr>
      </w:pPr>
      <w:r w:rsidRPr="00D52BB1">
        <w:rPr>
          <w:rFonts w:ascii="Times New Roman" w:hAnsi="Times New Roman"/>
          <w:i/>
          <w:sz w:val="24"/>
          <w:szCs w:val="24"/>
        </w:rPr>
        <w:t>с английского языка</w:t>
      </w:r>
    </w:p>
    <w:p w:rsidR="00484D86" w:rsidRPr="0052079E" w:rsidRDefault="00484D86" w:rsidP="00484D86">
      <w:pPr>
        <w:jc w:val="center"/>
        <w:rPr>
          <w:rFonts w:ascii="Times New Roman" w:hAnsi="Times New Roman"/>
          <w:b/>
          <w:sz w:val="14"/>
          <w:szCs w:val="14"/>
        </w:rPr>
      </w:pPr>
    </w:p>
    <w:p w:rsidR="00484D86" w:rsidRPr="001839A6" w:rsidRDefault="00484D86" w:rsidP="00484D8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39A6">
        <w:rPr>
          <w:rFonts w:ascii="Times New Roman" w:hAnsi="Times New Roman"/>
          <w:b/>
          <w:sz w:val="28"/>
          <w:szCs w:val="28"/>
        </w:rPr>
        <w:t>Высокорисковые</w:t>
      </w:r>
      <w:proofErr w:type="spellEnd"/>
      <w:r w:rsidRPr="001839A6">
        <w:rPr>
          <w:rFonts w:ascii="Times New Roman" w:hAnsi="Times New Roman"/>
          <w:b/>
          <w:sz w:val="28"/>
          <w:szCs w:val="28"/>
        </w:rPr>
        <w:t xml:space="preserve"> юрисдикции, подлежащие призыву </w:t>
      </w:r>
      <w:r>
        <w:rPr>
          <w:rFonts w:ascii="Times New Roman" w:hAnsi="Times New Roman"/>
          <w:b/>
          <w:sz w:val="28"/>
          <w:szCs w:val="28"/>
        </w:rPr>
        <w:br/>
      </w:r>
      <w:r w:rsidRPr="001839A6">
        <w:rPr>
          <w:rFonts w:ascii="Times New Roman" w:hAnsi="Times New Roman"/>
          <w:b/>
          <w:sz w:val="28"/>
          <w:szCs w:val="28"/>
        </w:rPr>
        <w:t>к действию – 21 февраля 2020 года</w:t>
      </w:r>
    </w:p>
    <w:p w:rsidR="00484D86" w:rsidRPr="001839A6" w:rsidRDefault="00484D86" w:rsidP="00484D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39A6">
        <w:rPr>
          <w:rFonts w:ascii="Times New Roman" w:hAnsi="Times New Roman"/>
          <w:i/>
          <w:sz w:val="28"/>
          <w:szCs w:val="28"/>
        </w:rPr>
        <w:t xml:space="preserve">В юрисдикциях с высоким уровнем риска существуют значительные стратегические недостатки в режимах противодействия отмыванию денег, финансированию терроризма и финансированию распространения оружия массового уничтожения. Для всех стран, определенных как группы повышенного риска, ФАТФ настоятельно призывает всех членов </w:t>
      </w:r>
      <w:r w:rsidRPr="001839A6">
        <w:rPr>
          <w:rFonts w:ascii="Times New Roman" w:hAnsi="Times New Roman"/>
          <w:i/>
          <w:sz w:val="28"/>
          <w:szCs w:val="28"/>
        </w:rPr>
        <w:br/>
        <w:t xml:space="preserve">и юрисдикций применять усиленную должную осмотрительность, </w:t>
      </w:r>
      <w:r>
        <w:rPr>
          <w:rFonts w:ascii="Times New Roman" w:hAnsi="Times New Roman"/>
          <w:i/>
          <w:sz w:val="28"/>
          <w:szCs w:val="28"/>
        </w:rPr>
        <w:br/>
      </w:r>
      <w:r w:rsidRPr="001839A6">
        <w:rPr>
          <w:rFonts w:ascii="Times New Roman" w:hAnsi="Times New Roman"/>
          <w:i/>
          <w:sz w:val="28"/>
          <w:szCs w:val="28"/>
        </w:rPr>
        <w:t>а в наиболее серьезных случаях страны должны применять контрмеры для защиты международной финансовой системы от текущих рисков отмывания денег, финансирования терроризма и финансирования распространения оружия массового уничтожения (ПОД/ФТ/ФРОМУ), исходящих из страны. Этот список часто называют «черным списком</w:t>
      </w:r>
      <w:proofErr w:type="gramStart"/>
      <w:r w:rsidRPr="001839A6">
        <w:rPr>
          <w:rFonts w:ascii="Times New Roman" w:hAnsi="Times New Roman"/>
          <w:i/>
          <w:sz w:val="28"/>
          <w:szCs w:val="28"/>
        </w:rPr>
        <w:t>».*</w:t>
      </w:r>
      <w:proofErr w:type="gramEnd"/>
      <w:r>
        <w:rPr>
          <w:rStyle w:val="af8"/>
          <w:rFonts w:ascii="Times New Roman" w:hAnsi="Times New Roman"/>
          <w:i/>
          <w:sz w:val="28"/>
          <w:szCs w:val="28"/>
        </w:rPr>
        <w:footnoteReference w:id="1"/>
      </w:r>
    </w:p>
    <w:p w:rsidR="00484D86" w:rsidRPr="001839A6" w:rsidRDefault="00484D86" w:rsidP="00484D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39A6">
        <w:rPr>
          <w:rFonts w:ascii="Times New Roman" w:hAnsi="Times New Roman"/>
          <w:b/>
          <w:sz w:val="28"/>
          <w:szCs w:val="28"/>
          <w:u w:val="single"/>
        </w:rPr>
        <w:t>Корейская Народно-Демократическая Республика (КНДР)</w:t>
      </w:r>
    </w:p>
    <w:p w:rsidR="00484D86" w:rsidRPr="001839A6" w:rsidRDefault="00484D86" w:rsidP="00484D8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839A6">
        <w:rPr>
          <w:rFonts w:ascii="Times New Roman" w:hAnsi="Times New Roman"/>
          <w:bCs/>
          <w:iCs/>
          <w:sz w:val="28"/>
          <w:szCs w:val="28"/>
        </w:rPr>
        <w:t xml:space="preserve">ФАТФ по-прежнему обеспокоена в связи с невыполнением КНДР </w:t>
      </w:r>
      <w:r w:rsidRPr="001839A6">
        <w:rPr>
          <w:rFonts w:ascii="Times New Roman" w:hAnsi="Times New Roman"/>
          <w:bCs/>
          <w:iCs/>
          <w:sz w:val="28"/>
          <w:szCs w:val="28"/>
        </w:rPr>
        <w:br/>
        <w:t xml:space="preserve">по устранению существенных недостатков в его режиме борьбы с отмыванием денег и финансированием терроризма (ПОД/ФТ) и серьезными угрозами, которые они представляют для целостности международной финансовой системы. ФАТФ призывает КНДР незамедлительно устранить свои недостатки в сфере ПОД/ФТ. Кроме того, ФАТФ выражает обеспокоенность по поводу угрозы, исходящей от незаконной деятельности КНДР, связанных </w:t>
      </w:r>
      <w:r w:rsidRPr="001839A6">
        <w:rPr>
          <w:rFonts w:ascii="Times New Roman" w:hAnsi="Times New Roman"/>
          <w:bCs/>
          <w:iCs/>
          <w:sz w:val="28"/>
          <w:szCs w:val="28"/>
        </w:rPr>
        <w:br/>
        <w:t>с распространением оружия массового уничтожения (ОМУ) и его финансирования.</w:t>
      </w:r>
    </w:p>
    <w:p w:rsidR="00484D86" w:rsidRDefault="00484D86" w:rsidP="00484D8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839A6">
        <w:rPr>
          <w:rFonts w:ascii="Times New Roman" w:hAnsi="Times New Roman"/>
          <w:bCs/>
          <w:iCs/>
          <w:sz w:val="28"/>
          <w:szCs w:val="28"/>
        </w:rPr>
        <w:t xml:space="preserve">ФАТФ подтверждает свое заявление от 25 февраля 2011 года, вновь призывая государства-члены и настоятельно призывая все юрисдикции обращать особое внимание своих финансовых институтов на деловые отношения и транзакции с КНДР, включая компании и финансовые институты КНДР, а также лиц, действующих от их имени. В дополнение к мерам усиленного воздействия ФАТФ вновь призывает государства-члены применять эффективные меры противодействия, а также целевые финансовые санкции в соответствии с резолюциями Совета Безопасности Организации Объединенных Наций, для защиты своих финансовых секторов от рисков  отмывания денег, финансирования терроризма и финансирования распространения оружия массового уничтожения (ОД/ФТ/ФРОМУ), исходящие от КНДР. Юрисдикции должны принять необходимые меры, чтобы закрыть существующие филиалы, дочерние компании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1839A6">
        <w:rPr>
          <w:rFonts w:ascii="Times New Roman" w:hAnsi="Times New Roman"/>
          <w:bCs/>
          <w:iCs/>
          <w:sz w:val="28"/>
          <w:szCs w:val="28"/>
        </w:rPr>
        <w:t>и представительства банков КНДР в пределах их территорий и прекратить корреспондентские отношения с банками КНДР, если это предусмотрено соответствующими резолюциями СБ ООН.</w:t>
      </w:r>
    </w:p>
    <w:p w:rsidR="00484D86" w:rsidRDefault="00484D86" w:rsidP="00484D86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</w:p>
    <w:p w:rsidR="00484D86" w:rsidRDefault="00484D86" w:rsidP="00484D86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</w:p>
    <w:p w:rsidR="00484D86" w:rsidRPr="001839A6" w:rsidRDefault="00484D86" w:rsidP="00484D86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iCs/>
          <w:sz w:val="28"/>
          <w:szCs w:val="28"/>
        </w:rPr>
      </w:pPr>
      <w:r w:rsidRPr="001839A6">
        <w:rPr>
          <w:rStyle w:val="a8"/>
          <w:rFonts w:ascii="Times New Roman" w:hAnsi="Times New Roman"/>
          <w:sz w:val="28"/>
          <w:szCs w:val="28"/>
          <w:u w:val="single"/>
        </w:rPr>
        <w:lastRenderedPageBreak/>
        <w:t>Иран</w:t>
      </w:r>
    </w:p>
    <w:p w:rsidR="00484D86" w:rsidRPr="001839A6" w:rsidRDefault="00484D86" w:rsidP="00484D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A6">
        <w:rPr>
          <w:rFonts w:ascii="Times New Roman" w:hAnsi="Times New Roman"/>
          <w:sz w:val="28"/>
          <w:szCs w:val="28"/>
        </w:rPr>
        <w:t xml:space="preserve">В июне 2016 года Иран обязался устранить свои стратегические недостатки. План действий Ирана истек в январе 2018 года. В феврале </w:t>
      </w:r>
      <w:r w:rsidRPr="001839A6">
        <w:rPr>
          <w:rFonts w:ascii="Times New Roman" w:hAnsi="Times New Roman"/>
          <w:sz w:val="28"/>
          <w:szCs w:val="28"/>
        </w:rPr>
        <w:br/>
        <w:t>2020 года ФАТФ отметила, что Иран еще не завершил этот план действий.</w:t>
      </w:r>
      <w:r>
        <w:rPr>
          <w:rStyle w:val="af8"/>
          <w:rFonts w:ascii="Times New Roman" w:hAnsi="Times New Roman"/>
          <w:sz w:val="28"/>
          <w:szCs w:val="28"/>
        </w:rPr>
        <w:footnoteReference w:id="2"/>
      </w:r>
    </w:p>
    <w:p w:rsidR="00484D86" w:rsidRPr="001839A6" w:rsidRDefault="00484D86" w:rsidP="00484D86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1839A6">
        <w:rPr>
          <w:rStyle w:val="a8"/>
          <w:rFonts w:ascii="Times New Roman" w:hAnsi="Times New Roman"/>
          <w:b w:val="0"/>
          <w:sz w:val="28"/>
          <w:szCs w:val="28"/>
        </w:rPr>
        <w:t xml:space="preserve">В октябре 2019 года ФАТФ призвала своих членов и все юрисдикции требовать усиления надзорной проверки для филиалов и дочерних компаний финансовых учреждений, базирующихся в Иране; ввести усовершенствованные соответствующие механизмы отчетности или систематическую отчетность о финансовых операциях; и требовать повышенных требований внешнего аудита для финансовых групп </w:t>
      </w:r>
      <w:r>
        <w:rPr>
          <w:rStyle w:val="a8"/>
          <w:rFonts w:ascii="Times New Roman" w:hAnsi="Times New Roman"/>
          <w:b w:val="0"/>
          <w:sz w:val="28"/>
          <w:szCs w:val="28"/>
        </w:rPr>
        <w:br/>
      </w:r>
      <w:r w:rsidRPr="001839A6">
        <w:rPr>
          <w:rStyle w:val="a8"/>
          <w:rFonts w:ascii="Times New Roman" w:hAnsi="Times New Roman"/>
          <w:b w:val="0"/>
          <w:sz w:val="28"/>
          <w:szCs w:val="28"/>
        </w:rPr>
        <w:t xml:space="preserve">в отношении любого из их филиалов и дочерних компаний, расположенных </w:t>
      </w:r>
      <w:r>
        <w:rPr>
          <w:rStyle w:val="a8"/>
          <w:rFonts w:ascii="Times New Roman" w:hAnsi="Times New Roman"/>
          <w:b w:val="0"/>
          <w:sz w:val="28"/>
          <w:szCs w:val="28"/>
        </w:rPr>
        <w:br/>
      </w:r>
      <w:r w:rsidRPr="001839A6">
        <w:rPr>
          <w:rStyle w:val="a8"/>
          <w:rFonts w:ascii="Times New Roman" w:hAnsi="Times New Roman"/>
          <w:b w:val="0"/>
          <w:sz w:val="28"/>
          <w:szCs w:val="28"/>
        </w:rPr>
        <w:t>в Иране.</w:t>
      </w:r>
    </w:p>
    <w:p w:rsidR="00484D86" w:rsidRPr="001839A6" w:rsidRDefault="00484D86" w:rsidP="00484D86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1839A6">
        <w:rPr>
          <w:rStyle w:val="a8"/>
          <w:rFonts w:ascii="Times New Roman" w:hAnsi="Times New Roman"/>
          <w:b w:val="0"/>
          <w:sz w:val="28"/>
          <w:szCs w:val="28"/>
        </w:rPr>
        <w:t xml:space="preserve">Теперь, учитывая неспособность Ирана принять </w:t>
      </w:r>
      <w:proofErr w:type="spellStart"/>
      <w:r w:rsidRPr="001839A6">
        <w:rPr>
          <w:rStyle w:val="a8"/>
          <w:rFonts w:ascii="Times New Roman" w:hAnsi="Times New Roman"/>
          <w:b w:val="0"/>
          <w:sz w:val="28"/>
          <w:szCs w:val="28"/>
        </w:rPr>
        <w:t>Палермскую</w:t>
      </w:r>
      <w:proofErr w:type="spellEnd"/>
      <w:r w:rsidRPr="001839A6">
        <w:rPr>
          <w:rStyle w:val="a8"/>
          <w:rFonts w:ascii="Times New Roman" w:hAnsi="Times New Roman"/>
          <w:b w:val="0"/>
          <w:sz w:val="28"/>
          <w:szCs w:val="28"/>
        </w:rPr>
        <w:t xml:space="preserve"> конвенцию и конвенцию о финансировании терроризма в соответствии </w:t>
      </w:r>
      <w:r>
        <w:rPr>
          <w:rStyle w:val="a8"/>
          <w:rFonts w:ascii="Times New Roman" w:hAnsi="Times New Roman"/>
          <w:b w:val="0"/>
          <w:sz w:val="28"/>
          <w:szCs w:val="28"/>
        </w:rPr>
        <w:br/>
      </w:r>
      <w:r w:rsidRPr="001839A6">
        <w:rPr>
          <w:rStyle w:val="a8"/>
          <w:rFonts w:ascii="Times New Roman" w:hAnsi="Times New Roman"/>
          <w:b w:val="0"/>
          <w:sz w:val="28"/>
          <w:szCs w:val="28"/>
        </w:rPr>
        <w:t>со стандартами ФАТФ, ФАТФ полностью отменяет приостановление контрмер и призывает своих членов и все юрисдикции применять эффективные контрмеры в соответствии с Рекомендацией 19.</w:t>
      </w:r>
      <w:r>
        <w:rPr>
          <w:rStyle w:val="af8"/>
          <w:rFonts w:ascii="Times New Roman" w:hAnsi="Times New Roman" w:cs="Times New Roman"/>
          <w:bCs/>
          <w:sz w:val="28"/>
          <w:szCs w:val="28"/>
        </w:rPr>
        <w:footnoteReference w:id="3"/>
      </w:r>
    </w:p>
    <w:p w:rsidR="00484D86" w:rsidRPr="001839A6" w:rsidRDefault="00484D86" w:rsidP="00484D86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1839A6">
        <w:rPr>
          <w:rStyle w:val="a8"/>
          <w:rFonts w:ascii="Times New Roman" w:hAnsi="Times New Roman"/>
          <w:b w:val="0"/>
          <w:sz w:val="28"/>
          <w:szCs w:val="28"/>
        </w:rPr>
        <w:t>Иран будет оставаться в заявлении ФАТФ [</w:t>
      </w:r>
      <w:proofErr w:type="spellStart"/>
      <w:r w:rsidRPr="001839A6">
        <w:rPr>
          <w:rStyle w:val="a8"/>
          <w:rFonts w:ascii="Times New Roman" w:hAnsi="Times New Roman"/>
          <w:b w:val="0"/>
          <w:sz w:val="28"/>
          <w:szCs w:val="28"/>
        </w:rPr>
        <w:t>Высокорисковые</w:t>
      </w:r>
      <w:proofErr w:type="spellEnd"/>
      <w:r w:rsidRPr="001839A6">
        <w:rPr>
          <w:rStyle w:val="a8"/>
          <w:rFonts w:ascii="Times New Roman" w:hAnsi="Times New Roman"/>
          <w:b w:val="0"/>
          <w:sz w:val="28"/>
          <w:szCs w:val="28"/>
        </w:rPr>
        <w:t xml:space="preserve"> юрисдикции, подлежащие призыву к действию] пока План действий не будет полностью завершен. Если Иран ратифицирует </w:t>
      </w:r>
      <w:proofErr w:type="spellStart"/>
      <w:r w:rsidRPr="001839A6">
        <w:rPr>
          <w:rStyle w:val="a8"/>
          <w:rFonts w:ascii="Times New Roman" w:hAnsi="Times New Roman"/>
          <w:b w:val="0"/>
          <w:sz w:val="28"/>
          <w:szCs w:val="28"/>
        </w:rPr>
        <w:t>Палермскую</w:t>
      </w:r>
      <w:proofErr w:type="spellEnd"/>
      <w:r w:rsidRPr="001839A6">
        <w:rPr>
          <w:rStyle w:val="a8"/>
          <w:rFonts w:ascii="Times New Roman" w:hAnsi="Times New Roman"/>
          <w:b w:val="0"/>
          <w:sz w:val="28"/>
          <w:szCs w:val="28"/>
        </w:rPr>
        <w:t xml:space="preserve"> конвенцию </w:t>
      </w:r>
      <w:r w:rsidR="0095028C">
        <w:rPr>
          <w:rStyle w:val="a8"/>
          <w:rFonts w:ascii="Times New Roman" w:hAnsi="Times New Roman"/>
          <w:b w:val="0"/>
          <w:sz w:val="28"/>
          <w:szCs w:val="28"/>
        </w:rPr>
        <w:br/>
      </w:r>
      <w:r w:rsidRPr="001839A6">
        <w:rPr>
          <w:rStyle w:val="a8"/>
          <w:rFonts w:ascii="Times New Roman" w:hAnsi="Times New Roman"/>
          <w:b w:val="0"/>
          <w:sz w:val="28"/>
          <w:szCs w:val="28"/>
        </w:rPr>
        <w:t xml:space="preserve">и конвенцию о финансировании терроризма в соответствии со стандартами ФАТФ, ФАТФ примет решение о следующих шагах, в том числе </w:t>
      </w:r>
      <w:r w:rsidR="0095028C">
        <w:rPr>
          <w:rStyle w:val="a8"/>
          <w:rFonts w:ascii="Times New Roman" w:hAnsi="Times New Roman"/>
          <w:b w:val="0"/>
          <w:sz w:val="28"/>
          <w:szCs w:val="28"/>
        </w:rPr>
        <w:br/>
      </w:r>
      <w:r w:rsidRPr="001839A6">
        <w:rPr>
          <w:rStyle w:val="a8"/>
          <w:rFonts w:ascii="Times New Roman" w:hAnsi="Times New Roman"/>
          <w:b w:val="0"/>
          <w:sz w:val="28"/>
          <w:szCs w:val="28"/>
        </w:rPr>
        <w:t>о приостановлении контрмер. До тех пор, пока Иран не реализует меры, необходимые для устранения недостатков, выявленных в Плане действий, ФАТФ будет по-прежнему обеспокоена с опасностью финансирования терроризма, исходящей от Ирана, которая представляет угрозу для международной финансовой системы.</w:t>
      </w:r>
    </w:p>
    <w:p w:rsidR="00484D86" w:rsidRPr="001839A6" w:rsidRDefault="00484D86" w:rsidP="00484D86">
      <w:pPr>
        <w:spacing w:after="120" w:line="240" w:lineRule="auto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484D86" w:rsidRDefault="00484D86" w:rsidP="00484D86">
      <w:pPr>
        <w:spacing w:after="120" w:line="240" w:lineRule="auto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484D86" w:rsidRPr="00D52BB1" w:rsidRDefault="00484D86" w:rsidP="00484D86">
      <w:pPr>
        <w:pStyle w:val="aa"/>
        <w:jc w:val="right"/>
        <w:rPr>
          <w:rFonts w:ascii="Times New Roman" w:hAnsi="Times New Roman"/>
          <w:i/>
          <w:sz w:val="24"/>
          <w:szCs w:val="24"/>
        </w:rPr>
      </w:pPr>
      <w:r w:rsidRPr="00D52BB1">
        <w:rPr>
          <w:rFonts w:ascii="Times New Roman" w:hAnsi="Times New Roman"/>
          <w:i/>
          <w:sz w:val="24"/>
          <w:szCs w:val="24"/>
        </w:rPr>
        <w:lastRenderedPageBreak/>
        <w:t>Неофициальный перевод</w:t>
      </w:r>
    </w:p>
    <w:p w:rsidR="00484D86" w:rsidRPr="00D52BB1" w:rsidRDefault="00484D86" w:rsidP="00484D86">
      <w:pPr>
        <w:jc w:val="right"/>
        <w:rPr>
          <w:sz w:val="24"/>
          <w:szCs w:val="24"/>
        </w:rPr>
      </w:pPr>
      <w:r w:rsidRPr="00D52BB1">
        <w:rPr>
          <w:rFonts w:ascii="Times New Roman" w:hAnsi="Times New Roman"/>
          <w:i/>
          <w:sz w:val="24"/>
          <w:szCs w:val="24"/>
        </w:rPr>
        <w:t>с английского языка</w:t>
      </w:r>
    </w:p>
    <w:p w:rsidR="00484D86" w:rsidRPr="00D52249" w:rsidRDefault="00484D86" w:rsidP="00484D86">
      <w:pPr>
        <w:jc w:val="center"/>
        <w:rPr>
          <w:rFonts w:ascii="Times New Roman" w:hAnsi="Times New Roman"/>
          <w:b/>
          <w:sz w:val="28"/>
          <w:szCs w:val="28"/>
        </w:rPr>
      </w:pPr>
      <w:r w:rsidRPr="00D52249">
        <w:rPr>
          <w:rFonts w:ascii="Times New Roman" w:hAnsi="Times New Roman"/>
          <w:b/>
          <w:sz w:val="28"/>
          <w:szCs w:val="28"/>
        </w:rPr>
        <w:t xml:space="preserve">Юрисдикции на усиленном мониторинге – </w:t>
      </w:r>
      <w:r w:rsidRPr="00D52249">
        <w:rPr>
          <w:rFonts w:ascii="Times New Roman" w:hAnsi="Times New Roman"/>
          <w:b/>
          <w:sz w:val="28"/>
          <w:szCs w:val="28"/>
        </w:rPr>
        <w:br/>
        <w:t>21 февраля 2020 года</w:t>
      </w:r>
    </w:p>
    <w:p w:rsidR="00484D86" w:rsidRPr="0072592B" w:rsidRDefault="00484D86" w:rsidP="00484D86">
      <w:pPr>
        <w:pStyle w:val="aa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72592B">
        <w:rPr>
          <w:rFonts w:ascii="Times New Roman" w:hAnsi="Times New Roman"/>
          <w:iCs/>
          <w:sz w:val="24"/>
          <w:szCs w:val="24"/>
        </w:rPr>
        <w:t xml:space="preserve">Юрисдикции, находящиеся </w:t>
      </w:r>
      <w:r>
        <w:rPr>
          <w:rFonts w:ascii="Times New Roman" w:hAnsi="Times New Roman"/>
          <w:iCs/>
          <w:sz w:val="24"/>
          <w:szCs w:val="24"/>
        </w:rPr>
        <w:t>на</w:t>
      </w:r>
      <w:r w:rsidRPr="0072592B">
        <w:rPr>
          <w:rFonts w:ascii="Times New Roman" w:hAnsi="Times New Roman"/>
          <w:iCs/>
          <w:sz w:val="24"/>
          <w:szCs w:val="24"/>
        </w:rPr>
        <w:t xml:space="preserve"> усиленн</w:t>
      </w:r>
      <w:r>
        <w:rPr>
          <w:rFonts w:ascii="Times New Roman" w:hAnsi="Times New Roman"/>
          <w:iCs/>
          <w:sz w:val="24"/>
          <w:szCs w:val="24"/>
        </w:rPr>
        <w:t>о</w:t>
      </w:r>
      <w:r w:rsidRPr="0072592B">
        <w:rPr>
          <w:rFonts w:ascii="Times New Roman" w:hAnsi="Times New Roman"/>
          <w:iCs/>
          <w:sz w:val="24"/>
          <w:szCs w:val="24"/>
        </w:rPr>
        <w:t>м мониторинг</w:t>
      </w:r>
      <w:r>
        <w:rPr>
          <w:rFonts w:ascii="Times New Roman" w:hAnsi="Times New Roman"/>
          <w:iCs/>
          <w:sz w:val="24"/>
          <w:szCs w:val="24"/>
        </w:rPr>
        <w:t>е</w:t>
      </w:r>
      <w:r w:rsidRPr="0072592B">
        <w:rPr>
          <w:rFonts w:ascii="Times New Roman" w:hAnsi="Times New Roman"/>
          <w:iCs/>
          <w:sz w:val="24"/>
          <w:szCs w:val="24"/>
        </w:rPr>
        <w:t xml:space="preserve">, активно работают с ФАТФ для устранения стратегических недостатков в их режимах по борьбе с отмыванием денег, финансированием терроризма и финансированием распространения оружия массового уничтожения. Когда ФАТФ ставит юрисдикцию </w:t>
      </w:r>
      <w:r>
        <w:rPr>
          <w:rFonts w:ascii="Times New Roman" w:hAnsi="Times New Roman"/>
          <w:iCs/>
          <w:sz w:val="24"/>
          <w:szCs w:val="24"/>
        </w:rPr>
        <w:t>на</w:t>
      </w:r>
      <w:r w:rsidRPr="0072592B">
        <w:rPr>
          <w:rFonts w:ascii="Times New Roman" w:hAnsi="Times New Roman"/>
          <w:iCs/>
          <w:sz w:val="24"/>
          <w:szCs w:val="24"/>
        </w:rPr>
        <w:t xml:space="preserve"> усиленный мониторинг, это означает, что страна обязалась быстро устранить выявленные стратегические недостатки </w:t>
      </w:r>
      <w:r>
        <w:rPr>
          <w:rFonts w:ascii="Times New Roman" w:hAnsi="Times New Roman"/>
          <w:iCs/>
          <w:sz w:val="24"/>
          <w:szCs w:val="24"/>
        </w:rPr>
        <w:br/>
      </w:r>
      <w:r w:rsidRPr="0072592B">
        <w:rPr>
          <w:rFonts w:ascii="Times New Roman" w:hAnsi="Times New Roman"/>
          <w:iCs/>
          <w:sz w:val="24"/>
          <w:szCs w:val="24"/>
        </w:rPr>
        <w:t>в согласованные сроки и подвергается усиленному мониторингу. Этот список часто называют «серым списком</w:t>
      </w:r>
      <w:proofErr w:type="gramStart"/>
      <w:r w:rsidRPr="0072592B">
        <w:rPr>
          <w:rFonts w:ascii="Times New Roman" w:hAnsi="Times New Roman"/>
          <w:iCs/>
          <w:sz w:val="24"/>
          <w:szCs w:val="24"/>
        </w:rPr>
        <w:t>».*</w:t>
      </w:r>
      <w:proofErr w:type="gramEnd"/>
      <w:r w:rsidR="00D52249">
        <w:rPr>
          <w:rStyle w:val="af8"/>
          <w:rFonts w:ascii="Times New Roman" w:hAnsi="Times New Roman"/>
          <w:iCs/>
          <w:sz w:val="24"/>
          <w:szCs w:val="24"/>
        </w:rPr>
        <w:footnoteReference w:id="4"/>
      </w:r>
    </w:p>
    <w:p w:rsidR="00484D86" w:rsidRPr="0072592B" w:rsidRDefault="00484D86" w:rsidP="00484D86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72592B">
        <w:rPr>
          <w:rFonts w:ascii="Times New Roman" w:hAnsi="Times New Roman"/>
          <w:sz w:val="24"/>
          <w:szCs w:val="24"/>
        </w:rPr>
        <w:t xml:space="preserve">ФАТФ и региональные группы по типу ФАТФ (РГТФ) продолжают работать </w:t>
      </w:r>
      <w:r>
        <w:rPr>
          <w:rFonts w:ascii="Times New Roman" w:hAnsi="Times New Roman"/>
          <w:sz w:val="24"/>
          <w:szCs w:val="24"/>
        </w:rPr>
        <w:br/>
      </w:r>
      <w:r w:rsidRPr="0072592B">
        <w:rPr>
          <w:rFonts w:ascii="Times New Roman" w:hAnsi="Times New Roman"/>
          <w:sz w:val="24"/>
          <w:szCs w:val="24"/>
        </w:rPr>
        <w:t>с юрисдикциями, отмеченными ниже, и сообщают о прогрессе, достигнутом в устранении выявленных недостатков.</w:t>
      </w:r>
      <w:r w:rsidRPr="0072592B">
        <w:rPr>
          <w:sz w:val="24"/>
          <w:szCs w:val="24"/>
        </w:rPr>
        <w:t xml:space="preserve"> </w:t>
      </w:r>
      <w:r w:rsidRPr="0072592B">
        <w:rPr>
          <w:rFonts w:ascii="Times New Roman" w:hAnsi="Times New Roman"/>
          <w:sz w:val="24"/>
          <w:szCs w:val="24"/>
        </w:rPr>
        <w:t xml:space="preserve">ФАТФ призывает эти юрисдикции </w:t>
      </w:r>
      <w:r w:rsidRPr="0072592B">
        <w:rPr>
          <w:rFonts w:ascii="Times New Roman" w:hAnsi="Times New Roman"/>
          <w:iCs/>
          <w:sz w:val="24"/>
          <w:szCs w:val="24"/>
        </w:rPr>
        <w:t>завершить согласованные планы действий</w:t>
      </w:r>
      <w:r w:rsidRPr="0072592B">
        <w:rPr>
          <w:rFonts w:ascii="Times New Roman" w:hAnsi="Times New Roman"/>
          <w:sz w:val="24"/>
          <w:szCs w:val="24"/>
        </w:rPr>
        <w:t xml:space="preserve"> оперативно и в предлагаемые сроки. ФАТФ приветствует </w:t>
      </w:r>
      <w:r>
        <w:rPr>
          <w:rFonts w:ascii="Times New Roman" w:hAnsi="Times New Roman"/>
          <w:sz w:val="24"/>
          <w:szCs w:val="24"/>
        </w:rPr>
        <w:br/>
      </w:r>
      <w:r w:rsidRPr="0072592B">
        <w:rPr>
          <w:rFonts w:ascii="Times New Roman" w:hAnsi="Times New Roman"/>
          <w:sz w:val="24"/>
          <w:szCs w:val="24"/>
        </w:rPr>
        <w:t>их приверженность и будет внимательно следить за их прогрессом. ФАТФ не призывает применять усиленную надлежащую проверку к этим юрисдикциям, но призывает своих членов принимать в</w:t>
      </w:r>
      <w:bookmarkStart w:id="0" w:name="_GoBack"/>
      <w:bookmarkEnd w:id="0"/>
      <w:r w:rsidRPr="0072592B">
        <w:rPr>
          <w:rFonts w:ascii="Times New Roman" w:hAnsi="Times New Roman"/>
          <w:sz w:val="24"/>
          <w:szCs w:val="24"/>
        </w:rPr>
        <w:t>о внимание информацию, представленную ниже, при анализе рисков.</w:t>
      </w:r>
    </w:p>
    <w:p w:rsidR="00484D86" w:rsidRPr="0072592B" w:rsidRDefault="00484D86" w:rsidP="00484D86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72592B">
        <w:rPr>
          <w:rFonts w:ascii="Times New Roman" w:hAnsi="Times New Roman"/>
          <w:sz w:val="24"/>
          <w:szCs w:val="24"/>
        </w:rPr>
        <w:t xml:space="preserve">ФАТФ продолжает на постоянной основе выявлять дополнительные юрисдикции, которые имеют стратегические недостатки в своих режимах по противодействию отмыванию денег, финансированию терроризма и </w:t>
      </w:r>
      <w:r w:rsidRPr="0072592B">
        <w:rPr>
          <w:rFonts w:ascii="Times New Roman" w:hAnsi="Times New Roman"/>
          <w:iCs/>
          <w:sz w:val="24"/>
          <w:szCs w:val="24"/>
        </w:rPr>
        <w:t>финансированию распространения оружия массового уничтожения</w:t>
      </w:r>
      <w:r w:rsidRPr="0072592B">
        <w:rPr>
          <w:rFonts w:ascii="Times New Roman" w:hAnsi="Times New Roman"/>
          <w:sz w:val="24"/>
          <w:szCs w:val="24"/>
        </w:rPr>
        <w:t>. Ряд юрисдикций еще не был</w:t>
      </w:r>
      <w:r>
        <w:rPr>
          <w:rFonts w:ascii="Times New Roman" w:hAnsi="Times New Roman"/>
          <w:sz w:val="24"/>
          <w:szCs w:val="24"/>
        </w:rPr>
        <w:t>и</w:t>
      </w:r>
      <w:r w:rsidRPr="0072592B">
        <w:rPr>
          <w:rFonts w:ascii="Times New Roman" w:hAnsi="Times New Roman"/>
          <w:sz w:val="24"/>
          <w:szCs w:val="24"/>
        </w:rPr>
        <w:t xml:space="preserve"> рассмотрен</w:t>
      </w:r>
      <w:r>
        <w:rPr>
          <w:rFonts w:ascii="Times New Roman" w:hAnsi="Times New Roman"/>
          <w:sz w:val="24"/>
          <w:szCs w:val="24"/>
        </w:rPr>
        <w:t>ы</w:t>
      </w:r>
      <w:r w:rsidRPr="0072592B">
        <w:rPr>
          <w:rFonts w:ascii="Times New Roman" w:hAnsi="Times New Roman"/>
          <w:sz w:val="24"/>
          <w:szCs w:val="24"/>
        </w:rPr>
        <w:t xml:space="preserve"> со стороны ФАТФ и РГТФ.</w:t>
      </w:r>
    </w:p>
    <w:p w:rsidR="00484D86" w:rsidRPr="00134C84" w:rsidRDefault="00484D86" w:rsidP="00484D86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48" w:type="dxa"/>
        <w:tblBorders>
          <w:top w:val="single" w:sz="36" w:space="0" w:color="DCDCDC"/>
          <w:left w:val="single" w:sz="36" w:space="0" w:color="DCDCDC"/>
          <w:bottom w:val="single" w:sz="36" w:space="0" w:color="DCDCDC"/>
          <w:right w:val="single" w:sz="36" w:space="0" w:color="DCDCD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63"/>
        <w:gridCol w:w="85"/>
        <w:gridCol w:w="4200"/>
      </w:tblGrid>
      <w:tr w:rsidR="00484D86" w:rsidRPr="00B058B3" w:rsidTr="00E420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86" w:rsidRPr="00B058B3" w:rsidRDefault="00484D86" w:rsidP="00E42013">
            <w:pPr>
              <w:pStyle w:val="af5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bookmarkStart w:id="1" w:name="_Hlk33354401"/>
            <w:r w:rsidRPr="00B058B3">
              <w:rPr>
                <w:rStyle w:val="a8"/>
                <w:color w:val="333333"/>
                <w:sz w:val="28"/>
                <w:szCs w:val="28"/>
              </w:rPr>
              <w:t>Юрисдикции со стратегическими недостатками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9E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86" w:rsidRPr="00B058B3" w:rsidRDefault="00484D86" w:rsidP="00E42013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058B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86" w:rsidRPr="00B058B3" w:rsidRDefault="00484D86" w:rsidP="00E42013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058B3">
              <w:rPr>
                <w:rStyle w:val="a8"/>
                <w:rFonts w:ascii="Times New Roman" w:hAnsi="Times New Roman"/>
                <w:color w:val="333333"/>
                <w:sz w:val="28"/>
                <w:szCs w:val="28"/>
              </w:rPr>
              <w:t xml:space="preserve">Юрисдикции, </w:t>
            </w:r>
            <w:r>
              <w:rPr>
                <w:rStyle w:val="a8"/>
                <w:rFonts w:ascii="Times New Roman" w:hAnsi="Times New Roman"/>
                <w:color w:val="333333"/>
                <w:sz w:val="28"/>
                <w:szCs w:val="28"/>
              </w:rPr>
              <w:t xml:space="preserve">которые уже </w:t>
            </w:r>
            <w:r>
              <w:rPr>
                <w:rStyle w:val="a8"/>
                <w:rFonts w:ascii="Times New Roman" w:hAnsi="Times New Roman"/>
                <w:color w:val="333333"/>
                <w:sz w:val="28"/>
                <w:szCs w:val="28"/>
              </w:rPr>
              <w:br/>
              <w:t>не</w:t>
            </w:r>
            <w:r>
              <w:rPr>
                <w:rStyle w:val="a8"/>
                <w:rFonts w:ascii="Times New Roman" w:hAnsi="Times New Roman"/>
              </w:rPr>
              <w:t xml:space="preserve"> </w:t>
            </w:r>
            <w:r>
              <w:rPr>
                <w:rStyle w:val="a8"/>
                <w:rFonts w:ascii="Times New Roman" w:hAnsi="Times New Roman"/>
                <w:color w:val="333333"/>
                <w:sz w:val="28"/>
                <w:szCs w:val="28"/>
              </w:rPr>
              <w:t xml:space="preserve">подлежат мониторингу </w:t>
            </w:r>
          </w:p>
        </w:tc>
      </w:tr>
      <w:tr w:rsidR="00484D86" w:rsidRPr="00B058B3" w:rsidTr="00E420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Албания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Багамы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Барбадос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Ботсвана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Камбоджа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Гана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Исландия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Ямайка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Маврикий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Монголия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Мьянма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Никарагуа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Пакистан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Панама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Сирия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Уганда</w:t>
            </w:r>
          </w:p>
          <w:p w:rsidR="00484D86" w:rsidRPr="004A3C67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Йемен</w:t>
            </w:r>
          </w:p>
          <w:p w:rsidR="00484D86" w:rsidRPr="00B058B3" w:rsidRDefault="00484D86" w:rsidP="00E42013">
            <w:pPr>
              <w:pStyle w:val="af5"/>
              <w:spacing w:before="0" w:beforeAutospacing="0" w:after="0" w:afterAutospacing="0"/>
              <w:ind w:left="153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Зимбабве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9E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86" w:rsidRPr="00B058B3" w:rsidRDefault="00484D86" w:rsidP="00E420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058B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D86" w:rsidRPr="00B058B3" w:rsidRDefault="00484D86" w:rsidP="00E42013">
            <w:pPr>
              <w:pStyle w:val="af5"/>
              <w:spacing w:before="0" w:beforeAutospacing="0" w:after="0" w:afterAutospacing="0"/>
              <w:ind w:left="108"/>
              <w:rPr>
                <w:color w:val="333333"/>
                <w:sz w:val="28"/>
                <w:szCs w:val="28"/>
              </w:rPr>
            </w:pPr>
            <w:r w:rsidRPr="004A3C67">
              <w:rPr>
                <w:color w:val="333333"/>
                <w:sz w:val="28"/>
                <w:szCs w:val="28"/>
              </w:rPr>
              <w:t>Тринидад и Тобаго</w:t>
            </w:r>
          </w:p>
        </w:tc>
      </w:tr>
      <w:bookmarkEnd w:id="1"/>
    </w:tbl>
    <w:p w:rsidR="003F527D" w:rsidRPr="00484D86" w:rsidRDefault="00B330A1" w:rsidP="00E75A4E">
      <w:pPr>
        <w:rPr>
          <w:rFonts w:ascii="Times New Roman" w:hAnsi="Times New Roman" w:cs="Times New Roman"/>
          <w:sz w:val="28"/>
          <w:szCs w:val="28"/>
        </w:rPr>
      </w:pPr>
    </w:p>
    <w:sectPr w:rsidR="003F527D" w:rsidRPr="00484D86" w:rsidSect="00E75A4E">
      <w:foot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A1" w:rsidRDefault="00B330A1" w:rsidP="00484D86">
      <w:pPr>
        <w:spacing w:after="0" w:line="240" w:lineRule="auto"/>
      </w:pPr>
      <w:r>
        <w:separator/>
      </w:r>
    </w:p>
  </w:endnote>
  <w:endnote w:type="continuationSeparator" w:id="0">
    <w:p w:rsidR="00B330A1" w:rsidRDefault="00B330A1" w:rsidP="0048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396540"/>
      <w:docPartObj>
        <w:docPartGallery w:val="Page Numbers (Bottom of Page)"/>
        <w:docPartUnique/>
      </w:docPartObj>
    </w:sdtPr>
    <w:sdtContent>
      <w:p w:rsidR="00E75A4E" w:rsidRDefault="00E75A4E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5A4E" w:rsidRDefault="00E75A4E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A1" w:rsidRDefault="00B330A1" w:rsidP="00484D86">
      <w:pPr>
        <w:spacing w:after="0" w:line="240" w:lineRule="auto"/>
      </w:pPr>
      <w:r>
        <w:separator/>
      </w:r>
    </w:p>
  </w:footnote>
  <w:footnote w:type="continuationSeparator" w:id="0">
    <w:p w:rsidR="00B330A1" w:rsidRDefault="00B330A1" w:rsidP="00484D86">
      <w:pPr>
        <w:spacing w:after="0" w:line="240" w:lineRule="auto"/>
      </w:pPr>
      <w:r>
        <w:continuationSeparator/>
      </w:r>
    </w:p>
  </w:footnote>
  <w:footnote w:id="1">
    <w:p w:rsidR="00484D86" w:rsidRPr="001839A6" w:rsidRDefault="00484D86" w:rsidP="00484D86">
      <w:pPr>
        <w:pStyle w:val="af6"/>
        <w:rPr>
          <w:bCs/>
        </w:rPr>
      </w:pPr>
      <w:r>
        <w:rPr>
          <w:rStyle w:val="af8"/>
        </w:rPr>
        <w:footnoteRef/>
      </w:r>
      <w:r>
        <w:t xml:space="preserve"> </w:t>
      </w:r>
      <w:r w:rsidRPr="001839A6">
        <w:rPr>
          <w:bCs/>
        </w:rPr>
        <w:t xml:space="preserve">* </w:t>
      </w:r>
      <w:r w:rsidRPr="001839A6">
        <w:rPr>
          <w:rFonts w:ascii="Times New Roman" w:hAnsi="Times New Roman" w:cs="Times New Roman"/>
          <w:bCs/>
        </w:rPr>
        <w:t>Это заявление ранее называлось «Публичное заявление».</w:t>
      </w:r>
    </w:p>
    <w:p w:rsidR="00484D86" w:rsidRDefault="00484D86" w:rsidP="00484D86">
      <w:pPr>
        <w:pStyle w:val="af6"/>
      </w:pPr>
    </w:p>
  </w:footnote>
  <w:footnote w:id="2">
    <w:p w:rsidR="00484D86" w:rsidRPr="005524D3" w:rsidRDefault="00484D86" w:rsidP="00484D86">
      <w:pPr>
        <w:pStyle w:val="af6"/>
        <w:jc w:val="both"/>
        <w:rPr>
          <w:rFonts w:ascii="Times New Roman" w:hAnsi="Times New Roman" w:cs="Times New Roman"/>
          <w:bCs/>
        </w:rPr>
      </w:pPr>
      <w:r>
        <w:rPr>
          <w:rStyle w:val="af8"/>
        </w:rPr>
        <w:footnoteRef/>
      </w:r>
      <w:r>
        <w:t xml:space="preserve"> </w:t>
      </w:r>
      <w:r w:rsidRPr="005524D3">
        <w:rPr>
          <w:rFonts w:ascii="Times New Roman" w:hAnsi="Times New Roman" w:cs="Times New Roman"/>
        </w:rPr>
        <w:t xml:space="preserve">В июне 2016 года ФАТФ приветствовала политическую приверженность Ирана на высоком уровне </w:t>
      </w:r>
      <w:r w:rsidR="0095028C">
        <w:rPr>
          <w:rFonts w:ascii="Times New Roman" w:hAnsi="Times New Roman" w:cs="Times New Roman"/>
        </w:rPr>
        <w:br/>
      </w:r>
      <w:r w:rsidRPr="005524D3">
        <w:rPr>
          <w:rFonts w:ascii="Times New Roman" w:hAnsi="Times New Roman" w:cs="Times New Roman"/>
        </w:rPr>
        <w:t>по устранению его стратегических недостатков в сфере ПОД/ФТ и его решение обратиться за технической помощью по реализации Плана действий. С 2016 года Иран установил режим декларирования наличных денег, принял поправки к Закону о борьбе с финансированием терроризма и Закону о борьбе с отмыванием денег, а также принял подзаконный акт о борьбе с отмыванием денег.</w:t>
      </w:r>
    </w:p>
    <w:p w:rsidR="00484D86" w:rsidRPr="0095028C" w:rsidRDefault="00484D86" w:rsidP="0095028C">
      <w:pPr>
        <w:pStyle w:val="af6"/>
        <w:jc w:val="both"/>
        <w:rPr>
          <w:rFonts w:ascii="Times New Roman" w:hAnsi="Times New Roman" w:cs="Times New Roman"/>
          <w:bCs/>
        </w:rPr>
      </w:pPr>
      <w:r w:rsidRPr="005524D3">
        <w:rPr>
          <w:rFonts w:ascii="Times New Roman" w:hAnsi="Times New Roman" w:cs="Times New Roman"/>
          <w:bCs/>
        </w:rPr>
        <w:t xml:space="preserve">В феврале 2020 года ФАТФ отметила о том, что Ирану следует в полной мере рассмотреть свои оставшиеся пункты действий, в том числе путем: (1) адекватной криминализации финансирования терроризма, в том числе путем исключения изъятия для назначенных групп «попыткой прекратить иностранную оккупацию, колониализм и расизм»; (2) выявление и замораживание террористических активов в соответствии </w:t>
      </w:r>
      <w:r w:rsidR="0095028C">
        <w:rPr>
          <w:rFonts w:ascii="Times New Roman" w:hAnsi="Times New Roman" w:cs="Times New Roman"/>
          <w:bCs/>
        </w:rPr>
        <w:br/>
      </w:r>
      <w:r w:rsidRPr="005524D3">
        <w:rPr>
          <w:rFonts w:ascii="Times New Roman" w:hAnsi="Times New Roman" w:cs="Times New Roman"/>
          <w:bCs/>
        </w:rPr>
        <w:t xml:space="preserve">с соответствующими резолюциями СБ ООН; (3) обеспечение адекватного и принудительного соблюдения режима надлежащей проверки клиентов; (4) демонстрация того, как уполномоченные органы выявляют </w:t>
      </w:r>
      <w:r w:rsidRPr="005524D3">
        <w:rPr>
          <w:rFonts w:ascii="Times New Roman" w:hAnsi="Times New Roman" w:cs="Times New Roman"/>
          <w:bCs/>
        </w:rPr>
        <w:br/>
        <w:t xml:space="preserve">и санкционируют нелицензированных поставщиков услуг передачи денег/ценностей; (5) ратификация </w:t>
      </w:r>
      <w:r w:rsidR="0095028C">
        <w:rPr>
          <w:rFonts w:ascii="Times New Roman" w:hAnsi="Times New Roman" w:cs="Times New Roman"/>
          <w:bCs/>
        </w:rPr>
        <w:br/>
      </w:r>
      <w:r w:rsidRPr="005524D3">
        <w:rPr>
          <w:rFonts w:ascii="Times New Roman" w:hAnsi="Times New Roman" w:cs="Times New Roman"/>
          <w:bCs/>
        </w:rPr>
        <w:t xml:space="preserve">и имплементация </w:t>
      </w:r>
      <w:proofErr w:type="spellStart"/>
      <w:r w:rsidRPr="005524D3">
        <w:rPr>
          <w:rFonts w:ascii="Times New Roman" w:hAnsi="Times New Roman" w:cs="Times New Roman"/>
          <w:bCs/>
        </w:rPr>
        <w:t>Палермской</w:t>
      </w:r>
      <w:proofErr w:type="spellEnd"/>
      <w:r w:rsidRPr="005524D3">
        <w:rPr>
          <w:rFonts w:ascii="Times New Roman" w:hAnsi="Times New Roman" w:cs="Times New Roman"/>
          <w:bCs/>
        </w:rPr>
        <w:t xml:space="preserve"> Конвенции и Конвенции по ФТ и разъяснение возможностей оказания взаимной правовой помощи; (6) обеспечение того, чтобы финансовые учреждения проверяли, что банковские переводы содержат полную информацию об отправителе и бенефициаре.</w:t>
      </w:r>
    </w:p>
  </w:footnote>
  <w:footnote w:id="3">
    <w:p w:rsidR="00484D86" w:rsidRPr="005524D3" w:rsidRDefault="00484D86" w:rsidP="00484D86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r w:rsidRPr="005524D3">
        <w:rPr>
          <w:rFonts w:ascii="Times New Roman" w:hAnsi="Times New Roman" w:cs="Times New Roman"/>
        </w:rPr>
        <w:t>Страны должны быть в состоянии применять соответствующие контрмеры, если к этому призывает ФАТФ. Кроме того, страны должны быть в состоянии применять контрмеры независимо от какого-либо призыва ФАТФ. Такие контрмеры должны быть эффективны и соответствовать рискам.</w:t>
      </w:r>
    </w:p>
    <w:p w:rsidR="00484D86" w:rsidRPr="005524D3" w:rsidRDefault="00484D86" w:rsidP="00484D86">
      <w:pPr>
        <w:pStyle w:val="af6"/>
        <w:jc w:val="both"/>
        <w:rPr>
          <w:rFonts w:ascii="Times New Roman" w:hAnsi="Times New Roman" w:cs="Times New Roman"/>
          <w:bCs/>
        </w:rPr>
      </w:pPr>
      <w:r w:rsidRPr="005524D3">
        <w:rPr>
          <w:rFonts w:ascii="Times New Roman" w:hAnsi="Times New Roman" w:cs="Times New Roman"/>
          <w:bCs/>
        </w:rPr>
        <w:t>В пояснительной записке к Рекомендации 19 приводятся примеры контрмер, которые могут быть предприняты странами.</w:t>
      </w:r>
    </w:p>
  </w:footnote>
  <w:footnote w:id="4">
    <w:p w:rsidR="00D52249" w:rsidRPr="00D52249" w:rsidRDefault="00D52249" w:rsidP="00D52249">
      <w:pPr>
        <w:pStyle w:val="af6"/>
        <w:jc w:val="both"/>
        <w:rPr>
          <w:bCs/>
        </w:rPr>
      </w:pPr>
      <w:r>
        <w:rPr>
          <w:rStyle w:val="af8"/>
        </w:rPr>
        <w:footnoteRef/>
      </w:r>
      <w:r>
        <w:t xml:space="preserve"> </w:t>
      </w:r>
      <w:r w:rsidRPr="00D52249">
        <w:rPr>
          <w:rFonts w:ascii="Times New Roman" w:hAnsi="Times New Roman" w:cs="Times New Roman"/>
          <w:bCs/>
        </w:rPr>
        <w:t>* Это заявление ранее называлось «Улучшение глобальной сети ПОД/ФТ: непрерывный процесс»</w:t>
      </w:r>
    </w:p>
    <w:p w:rsidR="00D52249" w:rsidRDefault="00D52249">
      <w:pPr>
        <w:pStyle w:val="af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86"/>
    <w:rsid w:val="00134C84"/>
    <w:rsid w:val="0019163B"/>
    <w:rsid w:val="00484D86"/>
    <w:rsid w:val="008126C3"/>
    <w:rsid w:val="0095028C"/>
    <w:rsid w:val="00B330A1"/>
    <w:rsid w:val="00B442CA"/>
    <w:rsid w:val="00BA2BE3"/>
    <w:rsid w:val="00C3664B"/>
    <w:rsid w:val="00D45C20"/>
    <w:rsid w:val="00D52249"/>
    <w:rsid w:val="00DB6D89"/>
    <w:rsid w:val="00E75A4E"/>
    <w:rsid w:val="00F123C3"/>
    <w:rsid w:val="00FA664E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01259-57AA-4F9B-9CB4-E5222001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D8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442CA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 w:line="276" w:lineRule="auto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B442CA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 w:line="276" w:lineRule="auto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B442CA"/>
    <w:pPr>
      <w:pBdr>
        <w:top w:val="single" w:sz="6" w:space="2" w:color="99CB38" w:themeColor="accent1"/>
        <w:left w:val="single" w:sz="6" w:space="2" w:color="99CB38" w:themeColor="accent1"/>
      </w:pBdr>
      <w:spacing w:before="300" w:after="0" w:line="276" w:lineRule="auto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2CA"/>
    <w:pPr>
      <w:pBdr>
        <w:top w:val="dotted" w:sz="6" w:space="2" w:color="99CB38" w:themeColor="accent1"/>
        <w:left w:val="dotted" w:sz="6" w:space="2" w:color="99CB38" w:themeColor="accent1"/>
      </w:pBdr>
      <w:spacing w:before="300" w:after="0" w:line="276" w:lineRule="auto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2CA"/>
    <w:pPr>
      <w:pBdr>
        <w:bottom w:val="single" w:sz="6" w:space="1" w:color="99CB38" w:themeColor="accent1"/>
      </w:pBdr>
      <w:spacing w:before="300" w:after="0" w:line="276" w:lineRule="auto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2CA"/>
    <w:pPr>
      <w:pBdr>
        <w:bottom w:val="dotted" w:sz="6" w:space="1" w:color="99CB38" w:themeColor="accent1"/>
      </w:pBdr>
      <w:spacing w:before="300" w:after="0" w:line="276" w:lineRule="auto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2CA"/>
    <w:pPr>
      <w:spacing w:before="300" w:after="0" w:line="276" w:lineRule="auto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2CA"/>
    <w:pPr>
      <w:spacing w:before="300" w:after="0" w:line="276" w:lineRule="auto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2CA"/>
    <w:pPr>
      <w:spacing w:before="300" w:after="0" w:line="276" w:lineRule="auto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CA"/>
    <w:rPr>
      <w:b/>
      <w:bCs/>
      <w:caps/>
      <w:color w:val="FFFFFF" w:themeColor="background1"/>
      <w:spacing w:val="15"/>
      <w:shd w:val="clear" w:color="auto" w:fill="99CB38" w:themeFill="accent1"/>
    </w:rPr>
  </w:style>
  <w:style w:type="character" w:customStyle="1" w:styleId="20">
    <w:name w:val="Заголовок 2 Знак"/>
    <w:basedOn w:val="a0"/>
    <w:link w:val="2"/>
    <w:uiPriority w:val="9"/>
    <w:rsid w:val="00B442CA"/>
    <w:rPr>
      <w:caps/>
      <w:spacing w:val="15"/>
      <w:shd w:val="clear" w:color="auto" w:fill="EAF4D7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B442CA"/>
    <w:rPr>
      <w:caps/>
      <w:color w:val="4C661A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442CA"/>
    <w:rPr>
      <w:caps/>
      <w:color w:val="72992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442CA"/>
    <w:rPr>
      <w:caps/>
      <w:color w:val="72992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442CA"/>
    <w:rPr>
      <w:caps/>
      <w:color w:val="72992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442CA"/>
    <w:rPr>
      <w:caps/>
      <w:color w:val="72992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442C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442CA"/>
    <w:rPr>
      <w:i/>
      <w:caps/>
      <w:spacing w:val="10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B442CA"/>
    <w:pPr>
      <w:tabs>
        <w:tab w:val="right" w:leader="dot" w:pos="9338"/>
      </w:tabs>
      <w:spacing w:before="120" w:after="0" w:line="276" w:lineRule="auto"/>
    </w:pPr>
    <w:rPr>
      <w:b/>
      <w:bCs/>
      <w:i/>
      <w:iCs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B442CA"/>
    <w:pPr>
      <w:spacing w:after="120" w:line="276" w:lineRule="auto"/>
    </w:pPr>
    <w:rPr>
      <w:b/>
      <w:bCs/>
      <w:color w:val="72992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442CA"/>
    <w:pPr>
      <w:spacing w:before="720" w:after="120" w:line="276" w:lineRule="auto"/>
    </w:pPr>
    <w:rPr>
      <w:caps/>
      <w:color w:val="99CB38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442CA"/>
    <w:rPr>
      <w:caps/>
      <w:color w:val="99CB38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2C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2C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442CA"/>
    <w:rPr>
      <w:b/>
      <w:bCs/>
    </w:rPr>
  </w:style>
  <w:style w:type="character" w:styleId="a9">
    <w:name w:val="Emphasis"/>
    <w:uiPriority w:val="20"/>
    <w:qFormat/>
    <w:rsid w:val="00B442CA"/>
    <w:rPr>
      <w:caps/>
      <w:color w:val="4C661A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442CA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B442CA"/>
    <w:rPr>
      <w:sz w:val="20"/>
      <w:szCs w:val="20"/>
    </w:rPr>
  </w:style>
  <w:style w:type="paragraph" w:styleId="ac">
    <w:name w:val="List Paragraph"/>
    <w:basedOn w:val="a"/>
    <w:uiPriority w:val="34"/>
    <w:qFormat/>
    <w:rsid w:val="00B442CA"/>
    <w:pPr>
      <w:spacing w:after="120" w:line="276" w:lineRule="auto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442CA"/>
    <w:pPr>
      <w:spacing w:after="120" w:line="276" w:lineRule="auto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B442C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442CA"/>
    <w:pPr>
      <w:pBdr>
        <w:top w:val="single" w:sz="4" w:space="10" w:color="99CB38" w:themeColor="accent1"/>
        <w:left w:val="single" w:sz="4" w:space="10" w:color="99CB38" w:themeColor="accent1"/>
      </w:pBdr>
      <w:spacing w:after="0" w:line="276" w:lineRule="auto"/>
      <w:ind w:left="1296" w:right="1152"/>
      <w:jc w:val="both"/>
    </w:pPr>
    <w:rPr>
      <w:i/>
      <w:iCs/>
      <w:color w:val="99CB38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442CA"/>
    <w:rPr>
      <w:i/>
      <w:iCs/>
      <w:color w:val="99CB38" w:themeColor="accent1"/>
      <w:sz w:val="20"/>
      <w:szCs w:val="20"/>
    </w:rPr>
  </w:style>
  <w:style w:type="character" w:styleId="af">
    <w:name w:val="Subtle Emphasis"/>
    <w:uiPriority w:val="19"/>
    <w:qFormat/>
    <w:rsid w:val="00B442CA"/>
    <w:rPr>
      <w:i/>
      <w:iCs/>
      <w:color w:val="4C661A" w:themeColor="accent1" w:themeShade="7F"/>
    </w:rPr>
  </w:style>
  <w:style w:type="character" w:styleId="af0">
    <w:name w:val="Intense Emphasis"/>
    <w:uiPriority w:val="21"/>
    <w:qFormat/>
    <w:rsid w:val="00B442CA"/>
    <w:rPr>
      <w:b/>
      <w:bCs/>
      <w:caps/>
      <w:color w:val="4C661A" w:themeColor="accent1" w:themeShade="7F"/>
      <w:spacing w:val="10"/>
    </w:rPr>
  </w:style>
  <w:style w:type="character" w:styleId="af1">
    <w:name w:val="Subtle Reference"/>
    <w:uiPriority w:val="31"/>
    <w:qFormat/>
    <w:rsid w:val="00B442CA"/>
    <w:rPr>
      <w:b/>
      <w:bCs/>
      <w:color w:val="99CB38" w:themeColor="accent1"/>
    </w:rPr>
  </w:style>
  <w:style w:type="character" w:styleId="af2">
    <w:name w:val="Intense Reference"/>
    <w:uiPriority w:val="32"/>
    <w:qFormat/>
    <w:rsid w:val="00B442CA"/>
    <w:rPr>
      <w:b/>
      <w:bCs/>
      <w:i/>
      <w:iCs/>
      <w:caps/>
      <w:color w:val="99CB38" w:themeColor="accent1"/>
    </w:rPr>
  </w:style>
  <w:style w:type="character" w:styleId="af3">
    <w:name w:val="Book Title"/>
    <w:uiPriority w:val="33"/>
    <w:qFormat/>
    <w:rsid w:val="00B442C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unhideWhenUsed/>
    <w:qFormat/>
    <w:rsid w:val="00B442CA"/>
    <w:pPr>
      <w:outlineLvl w:val="9"/>
    </w:pPr>
  </w:style>
  <w:style w:type="paragraph" w:styleId="af5">
    <w:name w:val="Normal (Web)"/>
    <w:basedOn w:val="a"/>
    <w:uiPriority w:val="99"/>
    <w:unhideWhenUsed/>
    <w:rsid w:val="0048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484D86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84D86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484D86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E7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E75A4E"/>
  </w:style>
  <w:style w:type="paragraph" w:styleId="afb">
    <w:name w:val="footer"/>
    <w:basedOn w:val="a"/>
    <w:link w:val="afc"/>
    <w:uiPriority w:val="99"/>
    <w:unhideWhenUsed/>
    <w:rsid w:val="00E7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E7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Другая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5470-85C9-4699-892D-E3C64391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2020-03-05T12:55:00Z</dcterms:created>
  <dcterms:modified xsi:type="dcterms:W3CDTF">2020-03-05T13:03:00Z</dcterms:modified>
</cp:coreProperties>
</file>